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4" w:rsidRDefault="002F0E54">
      <w:pPr>
        <w:spacing w:line="300" w:lineRule="atLeast"/>
      </w:pPr>
    </w:p>
    <w:p w:rsidR="006B6C13" w:rsidRDefault="006B6C13">
      <w:pPr>
        <w:spacing w:line="300" w:lineRule="atLeast"/>
      </w:pPr>
    </w:p>
    <w:p w:rsidR="006B6C13" w:rsidRDefault="006B6C13">
      <w:pPr>
        <w:spacing w:line="300" w:lineRule="atLeast"/>
      </w:pPr>
    </w:p>
    <w:p w:rsidR="006B6C13" w:rsidRDefault="006B6C13">
      <w:pPr>
        <w:spacing w:line="300" w:lineRule="atLeast"/>
      </w:pPr>
      <w:bookmarkStart w:id="0" w:name="_GoBack"/>
      <w:bookmarkEnd w:id="0"/>
    </w:p>
    <w:p w:rsidR="006B6C13" w:rsidRDefault="006B6C13">
      <w:pPr>
        <w:spacing w:line="300" w:lineRule="atLeast"/>
      </w:pPr>
    </w:p>
    <w:p w:rsidR="004B22CF" w:rsidRDefault="004B22CF" w:rsidP="004B22CF">
      <w:pPr>
        <w:ind w:right="72"/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Information zum Auswahlverfahren zur Vergabe der Dienstleistungskonzession zum B</w:t>
      </w:r>
      <w:r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 xml:space="preserve">trieb und zur Bewirtschaftung folgender Kantinen im </w:t>
      </w:r>
      <w:r w:rsidR="00A174C7">
        <w:rPr>
          <w:rFonts w:cs="Arial"/>
          <w:b/>
          <w:szCs w:val="22"/>
        </w:rPr>
        <w:t>Finanzamt Ribnitz Damgarten</w:t>
      </w:r>
    </w:p>
    <w:p w:rsidR="004B22CF" w:rsidRDefault="004B22CF" w:rsidP="004B22CF">
      <w:pPr>
        <w:ind w:right="72"/>
        <w:jc w:val="both"/>
        <w:rPr>
          <w:rFonts w:cs="Arial"/>
          <w:b/>
          <w:sz w:val="20"/>
          <w:szCs w:val="20"/>
        </w:rPr>
      </w:pPr>
    </w:p>
    <w:p w:rsidR="004B22CF" w:rsidRDefault="004B22CF" w:rsidP="004B22CF">
      <w:pPr>
        <w:ind w:right="72"/>
        <w:jc w:val="both"/>
        <w:rPr>
          <w:rFonts w:cs="Arial"/>
          <w:sz w:val="20"/>
          <w:szCs w:val="20"/>
        </w:rPr>
      </w:pPr>
    </w:p>
    <w:p w:rsidR="004B22CF" w:rsidRPr="00DD526D" w:rsidRDefault="004B22CF" w:rsidP="004B22CF">
      <w:pPr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Dienstleistungs</w:t>
      </w:r>
      <w:hyperlink r:id="rId8" w:tooltip="Konzession" w:history="1">
        <w:r w:rsidRPr="00DD526D">
          <w:rPr>
            <w:rStyle w:val="Hyperlink"/>
            <w:rFonts w:cs="Arial"/>
            <w:color w:val="auto"/>
            <w:sz w:val="20"/>
            <w:szCs w:val="20"/>
            <w:u w:val="none"/>
          </w:rPr>
          <w:t>konzession</w:t>
        </w:r>
      </w:hyperlink>
      <w:r w:rsidRPr="00DD526D">
        <w:rPr>
          <w:rFonts w:cs="Arial"/>
          <w:sz w:val="20"/>
          <w:szCs w:val="20"/>
        </w:rPr>
        <w:t xml:space="preserve"> ist die Form der Übertragung staatlicher Aufgaben an Personen des priv</w:t>
      </w:r>
      <w:r w:rsidRPr="00DD526D">
        <w:rPr>
          <w:rFonts w:cs="Arial"/>
          <w:sz w:val="20"/>
          <w:szCs w:val="20"/>
        </w:rPr>
        <w:t>a</w:t>
      </w:r>
      <w:r w:rsidRPr="00DD526D">
        <w:rPr>
          <w:rFonts w:cs="Arial"/>
          <w:sz w:val="20"/>
          <w:szCs w:val="20"/>
        </w:rPr>
        <w:t>ten Rechts. Sie ist dadurch gekennzeichnet, dass der Konzessionär als Gegenleistung für die Erbringung der Dienste statt oder neben einer Vergütung das Recht zur kommerziellen Nutzung und Verwertung der Dienstleistungs</w:t>
      </w:r>
      <w:hyperlink r:id="rId9" w:tooltip="Entgelt" w:history="1">
        <w:r w:rsidRPr="00DD526D">
          <w:rPr>
            <w:rStyle w:val="Hyperlink"/>
            <w:rFonts w:cs="Arial"/>
            <w:color w:val="auto"/>
            <w:sz w:val="20"/>
            <w:szCs w:val="20"/>
            <w:u w:val="none"/>
          </w:rPr>
          <w:t>entgelte</w:t>
        </w:r>
      </w:hyperlink>
      <w:r w:rsidRPr="00DD526D">
        <w:rPr>
          <w:rFonts w:cs="Arial"/>
          <w:sz w:val="20"/>
          <w:szCs w:val="20"/>
        </w:rPr>
        <w:t xml:space="preserve"> erhält sowie das ganze oder überwiegende </w:t>
      </w:r>
      <w:hyperlink r:id="rId10" w:tooltip="Wagnis" w:history="1">
        <w:r w:rsidRPr="00DD526D">
          <w:rPr>
            <w:rStyle w:val="Hyperlink"/>
            <w:rFonts w:cs="Arial"/>
            <w:color w:val="auto"/>
            <w:sz w:val="20"/>
            <w:szCs w:val="20"/>
            <w:u w:val="none"/>
          </w:rPr>
          <w:t>wirtschaftliche Nutzungs- und Ve</w:t>
        </w:r>
        <w:r w:rsidRPr="00DD526D">
          <w:rPr>
            <w:rStyle w:val="Hyperlink"/>
            <w:rFonts w:cs="Arial"/>
            <w:color w:val="auto"/>
            <w:sz w:val="20"/>
            <w:szCs w:val="20"/>
            <w:u w:val="none"/>
          </w:rPr>
          <w:t>r</w:t>
        </w:r>
        <w:r w:rsidRPr="00DD526D">
          <w:rPr>
            <w:rStyle w:val="Hyperlink"/>
            <w:rFonts w:cs="Arial"/>
            <w:color w:val="auto"/>
            <w:sz w:val="20"/>
            <w:szCs w:val="20"/>
            <w:u w:val="none"/>
          </w:rPr>
          <w:t>wertungsrisiko</w:t>
        </w:r>
      </w:hyperlink>
      <w:r w:rsidRPr="00DD526D">
        <w:rPr>
          <w:rFonts w:cs="Arial"/>
          <w:sz w:val="20"/>
          <w:szCs w:val="20"/>
        </w:rPr>
        <w:t xml:space="preserve"> trägt. Die Vergabe des Rechts zum Betreiben sowie Bewirtschaften einer Kantine ist d</w:t>
      </w:r>
      <w:r w:rsidRPr="00DD526D">
        <w:rPr>
          <w:rFonts w:cs="Arial"/>
          <w:sz w:val="20"/>
          <w:szCs w:val="20"/>
        </w:rPr>
        <w:t>a</w:t>
      </w:r>
      <w:r w:rsidRPr="00DD526D">
        <w:rPr>
          <w:rFonts w:cs="Arial"/>
          <w:sz w:val="20"/>
          <w:szCs w:val="20"/>
        </w:rPr>
        <w:t>her eine Dienstleistungskonzession.</w:t>
      </w:r>
    </w:p>
    <w:p w:rsidR="004B22CF" w:rsidRDefault="004B22CF" w:rsidP="004B22CF">
      <w:pPr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Vergabe dieser Konzession ist dem Vergaberecht entzogen. Daher gibt es auch hierfür keine Verg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benachprüfstelle. Die Bestimmungen der Verdingungsordnung für Leistungen (VOL) sind nicht anzuwe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den. Nach den Bestimmungen des EU-Rechts sowie gem. § 55 Landeshaushaltsordnung (LHO) besteht keine Ausschreibungspflicht.</w:t>
      </w:r>
    </w:p>
    <w:p w:rsidR="004B22CF" w:rsidRDefault="004B22CF" w:rsidP="004B22CF">
      <w:pPr>
        <w:ind w:right="72"/>
        <w:jc w:val="both"/>
        <w:rPr>
          <w:rFonts w:cs="Arial"/>
          <w:color w:val="5C5547"/>
          <w:sz w:val="20"/>
          <w:szCs w:val="20"/>
        </w:rPr>
      </w:pPr>
      <w:r>
        <w:rPr>
          <w:rFonts w:cs="Arial"/>
          <w:sz w:val="20"/>
          <w:szCs w:val="20"/>
        </w:rPr>
        <w:t>Es handelt sich um ein weitgehend formfreies Verfahren nach den Wettbewerbsgrundsätzen:</w:t>
      </w:r>
      <w:r>
        <w:rPr>
          <w:rFonts w:cs="Arial"/>
          <w:color w:val="5C5547"/>
          <w:sz w:val="20"/>
          <w:szCs w:val="20"/>
        </w:rPr>
        <w:t xml:space="preserve"> </w:t>
      </w:r>
    </w:p>
    <w:p w:rsidR="004B22CF" w:rsidRDefault="004B22CF" w:rsidP="004B22CF">
      <w:pPr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color w:val="5C5547"/>
          <w:sz w:val="20"/>
          <w:szCs w:val="20"/>
        </w:rPr>
        <w:t>- T</w:t>
      </w:r>
      <w:r>
        <w:rPr>
          <w:rFonts w:cs="Arial"/>
          <w:sz w:val="20"/>
          <w:szCs w:val="20"/>
        </w:rPr>
        <w:t>ransparenz / Gleichbehandlung,</w:t>
      </w:r>
    </w:p>
    <w:p w:rsidR="004B22CF" w:rsidRDefault="004B22CF" w:rsidP="004B22CF">
      <w:pPr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Diskriminierungsverbot,</w:t>
      </w:r>
    </w:p>
    <w:p w:rsidR="004B22CF" w:rsidRDefault="004B22CF" w:rsidP="00A075B0">
      <w:pPr>
        <w:tabs>
          <w:tab w:val="left" w:pos="5336"/>
        </w:tabs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Wirtschaftlichkeit sowie</w:t>
      </w:r>
      <w:r w:rsidR="00A075B0">
        <w:rPr>
          <w:rFonts w:cs="Arial"/>
          <w:sz w:val="20"/>
          <w:szCs w:val="20"/>
        </w:rPr>
        <w:tab/>
      </w:r>
    </w:p>
    <w:p w:rsidR="004B22CF" w:rsidRDefault="004B22CF" w:rsidP="004B22CF">
      <w:pPr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Auftragsvergabe an fachkundige, lieferfähige und zuverlässige Unternehmen.</w:t>
      </w:r>
    </w:p>
    <w:p w:rsidR="004B22CF" w:rsidRDefault="004B22CF" w:rsidP="004B22CF">
      <w:pPr>
        <w:shd w:val="clear" w:color="auto" w:fill="FFFFFF"/>
        <w:spacing w:before="100" w:beforeAutospacing="1" w:after="100" w:afterAutospacing="1" w:line="265" w:lineRule="atLeast"/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Auswahlverfahren besteht aus drei Teilen:</w:t>
      </w:r>
    </w:p>
    <w:p w:rsidR="004B22CF" w:rsidRDefault="004B22CF" w:rsidP="004B22CF">
      <w:pPr>
        <w:pStyle w:val="Listenabsatz1"/>
        <w:numPr>
          <w:ilvl w:val="2"/>
          <w:numId w:val="1"/>
        </w:numPr>
        <w:shd w:val="clear" w:color="auto" w:fill="FFFFFF"/>
        <w:spacing w:before="100" w:beforeAutospacing="1" w:after="100" w:afterAutospacing="1" w:line="265" w:lineRule="atLeast"/>
        <w:ind w:left="360" w:right="7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Bestimmung der Teilnehmer am Auswahlverfahren (Teilnahmeverfahren)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diesem Verfahren hat der Interessent neben seiner Interessenbekundung seine Fachkunde, Lei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tungsfähigkeit und Zuverlässigkeit nachzuweisen. Hierzu hat der Interessent das polizeiliche Fü</w:t>
      </w:r>
      <w:r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rungszeugnis, die Erklärung in Steuerfragen, die Erklärung zur wirtschaftlichen Leistungsfähigkeit zu übersenden sowie ein Referenzobjekt zu benennen. 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Nach eingehender Prüfung der eingereichten Unterlagen wird der Teilnehmerkreis am Auswahlve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fahren bestimmt. 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</w:p>
    <w:p w:rsidR="004B22CF" w:rsidRDefault="004B22CF" w:rsidP="004B22CF">
      <w:pPr>
        <w:pStyle w:val="Listenabsatz1"/>
        <w:numPr>
          <w:ilvl w:val="2"/>
          <w:numId w:val="1"/>
        </w:numPr>
        <w:shd w:val="clear" w:color="auto" w:fill="FFFFFF"/>
        <w:spacing w:before="100" w:beforeAutospacing="1" w:after="100" w:afterAutospacing="1" w:line="265" w:lineRule="atLeast"/>
        <w:ind w:left="360" w:right="7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Angebotsverfahren</w:t>
      </w:r>
    </w:p>
    <w:p w:rsidR="004B22CF" w:rsidRDefault="004B22CF" w:rsidP="004B22CF">
      <w:pPr>
        <w:tabs>
          <w:tab w:val="left" w:pos="360"/>
        </w:tabs>
        <w:ind w:left="360"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 Angebotsverfahren werden die Teilnehmer am Auswahlverfahren zur Abgabe ihres Angebots au</w:t>
      </w:r>
      <w:r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 xml:space="preserve">gefordert. 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Nach Vorlage der Angebote wird in dieser Phase das jeweilige Referenzobjekt besichtigt, das Prob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essen durchgeführt und entsprechend bewertet. 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Anschließend wird ein Entscheidungsvorschlag erarbeitet und die Zuschlagserteilung vorbereitet. </w:t>
      </w:r>
    </w:p>
    <w:p w:rsidR="004B22CF" w:rsidRDefault="004B22CF" w:rsidP="004B22CF">
      <w:pPr>
        <w:ind w:left="360" w:right="72"/>
        <w:jc w:val="both"/>
        <w:rPr>
          <w:rFonts w:cs="Arial"/>
          <w:sz w:val="20"/>
          <w:szCs w:val="20"/>
        </w:rPr>
      </w:pPr>
    </w:p>
    <w:p w:rsidR="004B22CF" w:rsidRDefault="004B22CF" w:rsidP="004B22CF">
      <w:pPr>
        <w:tabs>
          <w:tab w:val="left" w:pos="360"/>
        </w:tabs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</w:t>
      </w:r>
      <w:r>
        <w:rPr>
          <w:rFonts w:cs="Arial"/>
          <w:sz w:val="20"/>
          <w:szCs w:val="20"/>
        </w:rPr>
        <w:tab/>
        <w:t>Verhandlungsverfahren</w:t>
      </w:r>
    </w:p>
    <w:p w:rsidR="004B22CF" w:rsidRDefault="004B22CF" w:rsidP="004B22CF">
      <w:pPr>
        <w:pStyle w:val="Listenabsatz1"/>
        <w:shd w:val="clear" w:color="auto" w:fill="FFFFFF"/>
        <w:spacing w:before="100" w:beforeAutospacing="1" w:after="100" w:afterAutospacing="1" w:line="265" w:lineRule="atLeast"/>
        <w:ind w:left="360" w:right="72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In dieser Phase wird mit dem vorgesehenen Bieter der Konzessionsvertrag abschließend ausgeha</w:t>
      </w:r>
      <w:r>
        <w:rPr>
          <w:rFonts w:ascii="Arial" w:hAnsi="Arial" w:cs="Arial"/>
          <w:sz w:val="20"/>
          <w:szCs w:val="20"/>
          <w:lang w:eastAsia="de-DE"/>
        </w:rPr>
        <w:t>n</w:t>
      </w:r>
      <w:r>
        <w:rPr>
          <w:rFonts w:ascii="Arial" w:hAnsi="Arial" w:cs="Arial"/>
          <w:sz w:val="20"/>
          <w:szCs w:val="20"/>
          <w:lang w:eastAsia="de-DE"/>
        </w:rPr>
        <w:t>delt. Die Kantine ist eine Sozialeinrichtung der Mitarbeiterinnen und Mitarbeiter des Ministeriums für Wirtschaft, Arbeit und Tourismus. Es besteht ein Mitbestimmungsrecht der örtlichen Personalvertr</w:t>
      </w:r>
      <w:r>
        <w:rPr>
          <w:rFonts w:ascii="Arial" w:hAnsi="Arial" w:cs="Arial"/>
          <w:sz w:val="20"/>
          <w:szCs w:val="20"/>
          <w:lang w:eastAsia="de-DE"/>
        </w:rPr>
        <w:t>e</w:t>
      </w:r>
      <w:r>
        <w:rPr>
          <w:rFonts w:ascii="Arial" w:hAnsi="Arial" w:cs="Arial"/>
          <w:sz w:val="20"/>
          <w:szCs w:val="20"/>
          <w:lang w:eastAsia="de-DE"/>
        </w:rPr>
        <w:t xml:space="preserve">tung. Daher wird die Dienststelle um Zustimmung zum Vertragsabschluss gebeten. </w:t>
      </w:r>
    </w:p>
    <w:p w:rsidR="004B22CF" w:rsidRDefault="004B22CF" w:rsidP="004B22CF">
      <w:pPr>
        <w:pStyle w:val="Listenabsatz1"/>
        <w:shd w:val="clear" w:color="auto" w:fill="FFFFFF"/>
        <w:spacing w:before="100" w:beforeAutospacing="1" w:after="100" w:afterAutospacing="1" w:line="265" w:lineRule="atLeast"/>
        <w:ind w:left="360" w:right="72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Soweit die Zustimmung vorliegt wird der Konzessionsvertrag geschlossen. </w:t>
      </w:r>
    </w:p>
    <w:p w:rsidR="004B22CF" w:rsidRDefault="004B22CF">
      <w:pPr>
        <w:spacing w:line="300" w:lineRule="atLeast"/>
      </w:pPr>
    </w:p>
    <w:sectPr w:rsidR="004B22CF">
      <w:headerReference w:type="default" r:id="rId11"/>
      <w:footerReference w:type="default" r:id="rId12"/>
      <w:headerReference w:type="first" r:id="rId13"/>
      <w:pgSz w:w="11906" w:h="16838" w:code="9"/>
      <w:pgMar w:top="851" w:right="964" w:bottom="1134" w:left="153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57" w:rsidRDefault="008B0757">
      <w:r>
        <w:separator/>
      </w:r>
    </w:p>
  </w:endnote>
  <w:endnote w:type="continuationSeparator" w:id="0">
    <w:p w:rsidR="008B0757" w:rsidRDefault="008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54" w:rsidRDefault="002F0E54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B6C1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57" w:rsidRDefault="008B0757">
      <w:r>
        <w:separator/>
      </w:r>
    </w:p>
  </w:footnote>
  <w:footnote w:type="continuationSeparator" w:id="0">
    <w:p w:rsidR="008B0757" w:rsidRDefault="008B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54" w:rsidRDefault="002F0E54">
    <w:pPr>
      <w:pStyle w:val="Kopfzeile"/>
    </w:pPr>
  </w:p>
  <w:p w:rsidR="002F0E54" w:rsidRDefault="002F0E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6D" w:rsidRPr="00DD526D" w:rsidRDefault="00DD526D" w:rsidP="00DD526D">
    <w:pPr>
      <w:tabs>
        <w:tab w:val="left" w:pos="6521"/>
        <w:tab w:val="right" w:pos="7938"/>
      </w:tabs>
      <w:jc w:val="both"/>
      <w:rPr>
        <w:rFonts w:ascii="Myriad Pro" w:hAnsi="Myriad Pro" w:cs="Arial"/>
        <w:b/>
        <w:bCs/>
        <w:szCs w:val="22"/>
      </w:rPr>
    </w:pPr>
    <w:r w:rsidRPr="00DD526D">
      <w:rPr>
        <w:rFonts w:ascii="Myriad Pro" w:hAnsi="Myriad Pro" w:cs="Arial"/>
        <w:b/>
        <w:bCs/>
        <w:noProof/>
        <w:szCs w:val="22"/>
      </w:rPr>
      <w:drawing>
        <wp:anchor distT="0" distB="0" distL="114300" distR="114300" simplePos="0" relativeHeight="251662336" behindDoc="0" locked="0" layoutInCell="1" allowOverlap="1" wp14:anchorId="1CD0F13E" wp14:editId="16C3A993">
          <wp:simplePos x="0" y="0"/>
          <wp:positionH relativeFrom="column">
            <wp:posOffset>3465830</wp:posOffset>
          </wp:positionH>
          <wp:positionV relativeFrom="paragraph">
            <wp:posOffset>53975</wp:posOffset>
          </wp:positionV>
          <wp:extent cx="383540" cy="4800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l-2-briefkopf-2014-03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26D">
      <w:rPr>
        <w:rFonts w:ascii="Myriad Pro" w:hAnsi="Myriad Pro" w:cs="Arial"/>
        <w:b/>
        <w:bCs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D1BE8" wp14:editId="08347345">
              <wp:simplePos x="0" y="0"/>
              <wp:positionH relativeFrom="column">
                <wp:posOffset>4147185</wp:posOffset>
              </wp:positionH>
              <wp:positionV relativeFrom="paragraph">
                <wp:posOffset>53340</wp:posOffset>
              </wp:positionV>
              <wp:extent cx="0" cy="374650"/>
              <wp:effectExtent l="0" t="0" r="19050" b="2540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4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26.55pt;margin-top:4.2pt;width:0;height: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81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"/>
          </w:pict>
        </mc:Fallback>
      </mc:AlternateContent>
    </w:r>
    <w:r w:rsidRPr="00DD526D">
      <w:rPr>
        <w:rFonts w:ascii="Myriad Pro" w:hAnsi="Myriad Pro" w:cs="Arial"/>
        <w:b/>
        <w:bCs/>
        <w:noProof/>
        <w:szCs w:val="22"/>
      </w:rPr>
      <w:drawing>
        <wp:anchor distT="0" distB="0" distL="114300" distR="114300" simplePos="0" relativeHeight="251660288" behindDoc="0" locked="0" layoutInCell="1" allowOverlap="1" wp14:anchorId="5F36C567" wp14:editId="533FE81E">
          <wp:simplePos x="0" y="0"/>
          <wp:positionH relativeFrom="column">
            <wp:posOffset>4194797</wp:posOffset>
          </wp:positionH>
          <wp:positionV relativeFrom="paragraph">
            <wp:posOffset>-233989</wp:posOffset>
          </wp:positionV>
          <wp:extent cx="2032635" cy="919480"/>
          <wp:effectExtent l="0" t="0" r="5715" b="0"/>
          <wp:wrapNone/>
          <wp:docPr id="4" name="Bild 5" descr="MV_Solo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5" descr="MV_Solo_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DD526D">
      <w:rPr>
        <w:rFonts w:ascii="Myriad Pro" w:hAnsi="Myriad Pro" w:cs="Arial"/>
        <w:b/>
        <w:bCs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5B8AFB9" wp14:editId="293A2A78">
              <wp:simplePos x="0" y="0"/>
              <wp:positionH relativeFrom="margin">
                <wp:posOffset>-1080135</wp:posOffset>
              </wp:positionH>
              <wp:positionV relativeFrom="page">
                <wp:posOffset>3600450</wp:posOffset>
              </wp:positionV>
              <wp:extent cx="360045" cy="0"/>
              <wp:effectExtent l="5715" t="9525" r="571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85.05pt,283.5pt" to="-5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5MEg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" o:allowincell="f" strokecolor="blue">
              <w10:wrap anchorx="margin" anchory="page"/>
              <w10:anchorlock/>
            </v:line>
          </w:pict>
        </mc:Fallback>
      </mc:AlternateContent>
    </w:r>
    <w:r w:rsidRPr="00DD526D">
      <w:rPr>
        <w:rFonts w:ascii="Myriad Pro" w:hAnsi="Myriad Pro" w:cs="Arial"/>
        <w:b/>
        <w:bCs/>
        <w:szCs w:val="22"/>
      </w:rPr>
      <w:t>Betrieb für Bau und Liegenschaften</w:t>
    </w:r>
  </w:p>
  <w:p w:rsidR="00DD526D" w:rsidRPr="00DD526D" w:rsidRDefault="00DD526D" w:rsidP="00DD526D">
    <w:pPr>
      <w:tabs>
        <w:tab w:val="right" w:pos="7938"/>
      </w:tabs>
      <w:spacing w:after="40"/>
      <w:jc w:val="both"/>
      <w:rPr>
        <w:rFonts w:ascii="Myriad Pro" w:hAnsi="Myriad Pro"/>
        <w:szCs w:val="22"/>
      </w:rPr>
    </w:pPr>
    <w:r w:rsidRPr="00DD526D">
      <w:rPr>
        <w:rFonts w:ascii="Myriad Pro" w:hAnsi="Myriad Pro"/>
        <w:b/>
        <w:bCs/>
        <w:szCs w:val="22"/>
      </w:rPr>
      <w:t>Mecklenburg-Vorpommern</w:t>
    </w:r>
  </w:p>
  <w:p w:rsidR="00275CD7" w:rsidRPr="00DD526D" w:rsidRDefault="00DD526D" w:rsidP="00DD526D">
    <w:pPr>
      <w:tabs>
        <w:tab w:val="right" w:pos="7938"/>
      </w:tabs>
      <w:spacing w:after="40"/>
      <w:jc w:val="both"/>
      <w:rPr>
        <w:rFonts w:ascii="Myriad Pro" w:hAnsi="Myriad Pro"/>
        <w:szCs w:val="22"/>
      </w:rPr>
    </w:pPr>
    <w:r w:rsidRPr="00DD526D">
      <w:rPr>
        <w:rFonts w:ascii="Myriad Pro" w:hAnsi="Myriad Pro"/>
        <w:szCs w:val="22"/>
      </w:rPr>
      <w:t>Geschäftsbereich Schwerin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64E"/>
    <w:multiLevelType w:val="multilevel"/>
    <w:tmpl w:val="2CB44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5"/>
    <w:rsid w:val="00041775"/>
    <w:rsid w:val="00157F4A"/>
    <w:rsid w:val="0016023C"/>
    <w:rsid w:val="001C3352"/>
    <w:rsid w:val="00275CD7"/>
    <w:rsid w:val="002F0E54"/>
    <w:rsid w:val="002F78C8"/>
    <w:rsid w:val="00370DFC"/>
    <w:rsid w:val="00373FDD"/>
    <w:rsid w:val="00417394"/>
    <w:rsid w:val="004540B5"/>
    <w:rsid w:val="004B22CF"/>
    <w:rsid w:val="00505978"/>
    <w:rsid w:val="00544796"/>
    <w:rsid w:val="00587057"/>
    <w:rsid w:val="005F2EA6"/>
    <w:rsid w:val="006B6C13"/>
    <w:rsid w:val="006B71D0"/>
    <w:rsid w:val="00747136"/>
    <w:rsid w:val="00774283"/>
    <w:rsid w:val="008617B4"/>
    <w:rsid w:val="008B0757"/>
    <w:rsid w:val="008F2A71"/>
    <w:rsid w:val="00910EC9"/>
    <w:rsid w:val="00986EE9"/>
    <w:rsid w:val="009B66EF"/>
    <w:rsid w:val="009D3E9A"/>
    <w:rsid w:val="00A075B0"/>
    <w:rsid w:val="00A174C7"/>
    <w:rsid w:val="00A63BFD"/>
    <w:rsid w:val="00B06DB7"/>
    <w:rsid w:val="00B3371C"/>
    <w:rsid w:val="00B36620"/>
    <w:rsid w:val="00BB50D1"/>
    <w:rsid w:val="00C27186"/>
    <w:rsid w:val="00C94E7A"/>
    <w:rsid w:val="00CE478B"/>
    <w:rsid w:val="00DD115D"/>
    <w:rsid w:val="00DD526D"/>
    <w:rsid w:val="00DF6104"/>
    <w:rsid w:val="00E40B79"/>
    <w:rsid w:val="00E4796B"/>
    <w:rsid w:val="00E54CD7"/>
    <w:rsid w:val="00F51A6D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2C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4536" w:h="2098" w:hRule="exact" w:hSpace="142" w:wrap="around" w:vAnchor="text" w:hAnchor="page" w:x="1521" w:y="744"/>
      <w:outlineLvl w:val="0"/>
    </w:pPr>
    <w:rPr>
      <w:rFonts w:cs="Arial"/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qFormat/>
    <w:pPr>
      <w:keepNext/>
      <w:outlineLvl w:val="2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Listenabsatz1">
    <w:name w:val="Listenabsatz1"/>
    <w:basedOn w:val="Standard"/>
    <w:rsid w:val="004B22C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2C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4536" w:h="2098" w:hRule="exact" w:hSpace="142" w:wrap="around" w:vAnchor="text" w:hAnchor="page" w:x="1521" w:y="744"/>
      <w:outlineLvl w:val="0"/>
    </w:pPr>
    <w:rPr>
      <w:rFonts w:cs="Arial"/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qFormat/>
    <w:pPr>
      <w:keepNext/>
      <w:outlineLvl w:val="2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Listenabsatz1">
    <w:name w:val="Listenabsatz1"/>
    <w:basedOn w:val="Standard"/>
    <w:rsid w:val="004B22C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onzessio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Wag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Entgel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SN\Kopfbogen%20GB%20S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GB SN.dotm</Template>
  <TotalTime>0</TotalTime>
  <Pages>1</Pages>
  <Words>310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</vt:lpstr>
    </vt:vector>
  </TitlesOfParts>
  <Company>BBL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</dc:title>
  <dc:creator>Richter, Edelgard</dc:creator>
  <cp:lastModifiedBy>Richter, Edelgard</cp:lastModifiedBy>
  <cp:revision>6</cp:revision>
  <cp:lastPrinted>2016-07-13T09:26:00Z</cp:lastPrinted>
  <dcterms:created xsi:type="dcterms:W3CDTF">2016-01-19T13:12:00Z</dcterms:created>
  <dcterms:modified xsi:type="dcterms:W3CDTF">2016-07-13T09:27:00Z</dcterms:modified>
</cp:coreProperties>
</file>